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119</w:t>
      </w:r>
    </w:p>
    <w:p>
      <w:r>
        <w:t>Bundesgericht (BGE), 2007-01-01, FR</w:t>
      </w:r>
    </w:p>
    <w:p>
      <w:r>
        <w:rPr>
          <w:b/>
        </w:rPr>
        <w:t xml:space="preserve">Quelle: </w:t>
      </w:r>
      <w:r>
        <w:t>https://mcp.opencaselaw.ch/entscheid/bge_133 IV 119</w:t>
      </w:r>
    </w:p>
    <w:p>
      <w:r>
        <w:t>FR: ATF 133 IV 119</w:t>
      </w:r>
    </w:p>
    <w:p>
      <w:r>
        <w:t>IT: DTF 133 IV 119</w:t>
      </w:r>
    </w:p>
    <w:p>
      <w:pPr>
        <w:pStyle w:val="Heading2"/>
      </w:pPr>
      <w:r>
        <w:t>Regeste</w:t>
      </w:r>
    </w:p>
    <w:p>
      <w:r>
        <w:t>Regeste Begründung der Rechtsschrift gemäss Art. 42 Abs. 2 BGG. Beruht der angefochtene Entscheid auf mehreren selbständigen Begründungen, die je für sich den Ausgang des Rechtsstreits besiegeln, so hat der Beschwerdeführer darzulegen, dass jede von ihnen Recht verletzt; andernfalls kann auf die Beschwerde nicht eingetreten werden.</w:t>
      </w:r>
    </w:p>
    <w:p>
      <w:pPr>
        <w:pStyle w:val="Heading2"/>
      </w:pPr>
      <w:r>
        <w:t>Erwägungen</w:t>
      </w:r>
    </w:p>
    <w:p>
      <w:r>
        <w:rPr>
          <w:b/>
        </w:rPr>
        <w:t>E. 6</w:t>
      </w:r>
    </w:p>
    <w:p>
      <w:r>
        <w:t>Le Tribunal fédéral examine d'office et librement la recevabilité des recours qui lui sont soumis.</w:t>
      </w:r>
    </w:p>
    <w:p>
      <w:r>
        <w:rPr>
          <w:b/>
        </w:rPr>
        <w:t>E. 6.1</w:t>
      </w:r>
    </w:p>
    <w:p>
      <w:r>
        <w:t>Le recourant discute, dans son mémoire, les considérants de la décision attaquée où la Chambre pénale se prononce, à titre subsidiaire, sur les critiques formulées à l'encontre du Juge d'instruction; il prétend que la Cour cantonale aurait violé différentes dispositions du droit cantonal ou fédéral, au sujet des conditions de l'audition d'un avocat. En revanche, le recourant ne développe aucun argument au sujet de la motivation principale de la décision attaquée, prononçant l'irrecevabilité de la plainte pour des raisons d'ordre formel; il ne se plaint pas d'une violation des règles appliquées, sur ce point, par la Chambre pénale.</w:t>
      </w:r>
    </w:p>
    <w:p>
      <w:r>
        <w:rPr>
          <w:b/>
        </w:rPr>
        <w:t>E. 6.2</w:t>
      </w:r>
    </w:p>
    <w:p>
      <w:r>
        <w:t>Ce prononcé d'irrecevabilité est fondé sur le droit cantonal de procédure, à savoir sur les exigences qui, d'après l'arrêt attaqué, ont été définies par la jurisprudence cantonale sur la base des art. 166 ss CPP /VS en cas de contestation devant la Chambre pénale de certaines décisions du juge d'instruction.</w:t>
      </w:r>
    </w:p>
    <w:p>
      <w:r>
        <w:rPr>
          <w:b/>
        </w:rPr>
        <w:t>E. 6.3</w:t>
      </w:r>
    </w:p>
    <w:p>
      <w:r>
        <w:t>Les mémoires de recours destinés au Tribunal fédéral, notamment en matière pénale (art. 78 ss de la loi du 17 juin 2005 sur le Tribunal fédéral [LTF; RS 173.110]), doivent être motivés. L' art. 42 al. 2 LTF exige en effet qu'ils exposent succinctement en quoi l'acte attaqué viole le droit. Sous l'empire de l'ancienne loi d'organisation judiciaire (OJ [RO 3 p. 521]), la jurisprudence exigeait généralement que lorsque la décision attaquée comportait plusieurs motivations indépendantes et BGE 133 IV 119 S. 121 suffisantes pour sceller le sort de la cause, il appartenait au recourant, sous peine d'irrecevabilité, de démontrer que chacune d'entre elles était contraire au droit (cf., dans le cadre de l' art. 90 al. 1 let. b OJ , pour le recours de droit public, ATF 132 I 13 consid. 3 p. 17 et la jurisprudence citée; pour les autres voies de recours au Tribunal fédéral: cf. notamment ATF 123 II 337 consid. 9 p. 357; ATF 123 V 335 consid. 1b p. 337; ATF 121 IV 94 consid. 1b p. 95; ATF 118 Ib 134 consid. 2 p. 136; ATF 115 II 300 consid. 2a p. 302; ATF 111 II 397 ). Il faut interpréter l' art. 42 al. 2 LTF en ce sens que dorénavant, cette disposition impose également l'obligation de développer, dans l'acte de recours, des griefs à l'encontre de chacune des motivations de la décision attaquée. Cette interprétation, reprenant à propos de cette exigence formelle le régime de l'ancienne loi de procédure, correspond du reste à la volonté du législateur (cf. Message concernant la révision totale de l'organisation judiciaire fédérale, FF 2001 p. 4142).</w:t>
      </w:r>
    </w:p>
    <w:p>
      <w:r>
        <w:rPr>
          <w:b/>
        </w:rPr>
        <w:t>E. 6.4</w:t>
      </w:r>
    </w:p>
    <w:p>
      <w:r>
        <w:t>Le présent recours est insuffisamment motivé puisque dépourvu de toute argumentation au sujet de l'application faite par la Chambre pénale des prescriptions formelles sur la recevabilité de la plainte selon les art. 166 ss CPP /VS. Il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